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E351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E351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AC35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>постановлением Прави</w:t>
      </w:r>
      <w:r w:rsidR="00A51B1C">
        <w:rPr>
          <w:sz w:val="28"/>
          <w:szCs w:val="28"/>
        </w:rPr>
        <w:t>тельства Кировской области от 27.11.2015 № 72/775</w:t>
      </w:r>
      <w:r w:rsidR="00932909">
        <w:rPr>
          <w:sz w:val="28"/>
          <w:szCs w:val="28"/>
        </w:rPr>
        <w:t xml:space="preserve"> «</w:t>
      </w:r>
      <w:r w:rsidR="00A51B1C">
        <w:rPr>
          <w:sz w:val="28"/>
          <w:szCs w:val="28"/>
        </w:rPr>
        <w:t xml:space="preserve">О </w:t>
      </w:r>
      <w:proofErr w:type="spellStart"/>
      <w:r w:rsidR="00A51B1C">
        <w:rPr>
          <w:sz w:val="28"/>
          <w:szCs w:val="28"/>
        </w:rPr>
        <w:t>рапределении</w:t>
      </w:r>
      <w:proofErr w:type="spellEnd"/>
      <w:r w:rsidR="00A51B1C">
        <w:rPr>
          <w:sz w:val="28"/>
          <w:szCs w:val="28"/>
        </w:rPr>
        <w:t xml:space="preserve">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</w:t>
      </w:r>
      <w:r w:rsidR="00932909">
        <w:rPr>
          <w:sz w:val="28"/>
          <w:szCs w:val="28"/>
        </w:rPr>
        <w:t>»</w:t>
      </w:r>
      <w:r w:rsidR="00A51B1C">
        <w:rPr>
          <w:sz w:val="28"/>
          <w:szCs w:val="28"/>
        </w:rPr>
        <w:t>,</w:t>
      </w:r>
      <w:r w:rsidR="00AC3585">
        <w:rPr>
          <w:sz w:val="28"/>
          <w:szCs w:val="28"/>
        </w:rPr>
        <w:t xml:space="preserve"> с 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района»,</w:t>
      </w:r>
      <w:r w:rsidR="00A51B1C">
        <w:rPr>
          <w:sz w:val="28"/>
          <w:szCs w:val="28"/>
        </w:rPr>
        <w:t xml:space="preserve"> решением </w:t>
      </w:r>
      <w:proofErr w:type="spellStart"/>
      <w:r w:rsidR="00A51B1C">
        <w:rPr>
          <w:sz w:val="28"/>
          <w:szCs w:val="28"/>
        </w:rPr>
        <w:t>Тужинской</w:t>
      </w:r>
      <w:proofErr w:type="spellEnd"/>
      <w:r w:rsidR="00A51B1C">
        <w:rPr>
          <w:sz w:val="28"/>
          <w:szCs w:val="28"/>
        </w:rPr>
        <w:t xml:space="preserve"> районной Думы от</w:t>
      </w:r>
      <w:proofErr w:type="gramEnd"/>
      <w:r w:rsidR="00A51B1C">
        <w:rPr>
          <w:sz w:val="28"/>
          <w:szCs w:val="28"/>
        </w:rPr>
        <w:t xml:space="preserve"> 14.12.2015 № 67/408 «О бюджете </w:t>
      </w:r>
      <w:proofErr w:type="spellStart"/>
      <w:r w:rsidR="00A51B1C">
        <w:rPr>
          <w:sz w:val="28"/>
          <w:szCs w:val="28"/>
        </w:rPr>
        <w:t>Тужинского</w:t>
      </w:r>
      <w:proofErr w:type="spellEnd"/>
      <w:r w:rsidR="00A51B1C">
        <w:rPr>
          <w:sz w:val="28"/>
          <w:szCs w:val="28"/>
        </w:rPr>
        <w:t xml:space="preserve"> муниципального района на 2016 год»</w:t>
      </w:r>
      <w:r w:rsidR="00AC3585">
        <w:rPr>
          <w:sz w:val="28"/>
          <w:szCs w:val="28"/>
        </w:rPr>
        <w:t xml:space="preserve"> и решением </w:t>
      </w:r>
      <w:proofErr w:type="spellStart"/>
      <w:r w:rsidR="00AC3585">
        <w:rPr>
          <w:sz w:val="28"/>
          <w:szCs w:val="28"/>
        </w:rPr>
        <w:t>Тужинской</w:t>
      </w:r>
      <w:proofErr w:type="spellEnd"/>
      <w:r w:rsidR="00AC3585">
        <w:rPr>
          <w:sz w:val="28"/>
          <w:szCs w:val="28"/>
        </w:rPr>
        <w:t xml:space="preserve"> районной Думы от 25.12.2015 № 68/418 «О внесении изменений в решение </w:t>
      </w:r>
      <w:proofErr w:type="spellStart"/>
      <w:r w:rsidR="00AC3585">
        <w:rPr>
          <w:sz w:val="28"/>
          <w:szCs w:val="28"/>
        </w:rPr>
        <w:t>Тужинской</w:t>
      </w:r>
      <w:proofErr w:type="spellEnd"/>
      <w:r w:rsidR="00AC3585">
        <w:rPr>
          <w:sz w:val="28"/>
          <w:szCs w:val="28"/>
        </w:rPr>
        <w:t xml:space="preserve"> районной Думы от 12.12.2014 № 49/333»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9432F1" w:rsidRPr="00C11D1A" w:rsidRDefault="009432F1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Кировской области</w:t>
      </w:r>
    </w:p>
    <w:p w:rsidR="00531463" w:rsidRPr="00C11D1A" w:rsidRDefault="00531463" w:rsidP="00AC3585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531463" w:rsidRPr="00C11D1A" w:rsidRDefault="00A51B1C" w:rsidP="00AC3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6E3512">
        <w:rPr>
          <w:color w:val="000000"/>
          <w:sz w:val="28"/>
          <w:szCs w:val="28"/>
        </w:rPr>
        <w:t xml:space="preserve">                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AC3585" w:rsidRDefault="00AC3585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E3512">
        <w:rPr>
          <w:sz w:val="26"/>
          <w:szCs w:val="26"/>
        </w:rPr>
        <w:t xml:space="preserve">от 30.12.2015 </w:t>
      </w:r>
      <w:r w:rsidR="00531463" w:rsidRPr="00531463">
        <w:rPr>
          <w:sz w:val="26"/>
          <w:szCs w:val="26"/>
        </w:rPr>
        <w:t>№</w:t>
      </w:r>
      <w:r w:rsidR="006E3512">
        <w:rPr>
          <w:sz w:val="26"/>
          <w:szCs w:val="26"/>
        </w:rPr>
        <w:t xml:space="preserve"> 472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AC3585">
              <w:rPr>
                <w:sz w:val="26"/>
                <w:szCs w:val="26"/>
              </w:rPr>
              <w:t>ной Программы составит 82828,762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66674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AC3585">
              <w:rPr>
                <w:rFonts w:ascii="Times New Roman" w:hAnsi="Times New Roman" w:cs="Times New Roman"/>
                <w:sz w:val="26"/>
                <w:szCs w:val="26"/>
              </w:rPr>
              <w:t>местного бюджета – 16154,5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EB200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Pr="00531463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AC3585">
        <w:rPr>
          <w:rFonts w:ascii="Times New Roman" w:hAnsi="Times New Roman" w:cs="Times New Roman"/>
          <w:sz w:val="26"/>
          <w:szCs w:val="26"/>
        </w:rPr>
        <w:t>82828,762</w:t>
      </w:r>
      <w:r w:rsidR="00BA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BA30C6">
        <w:rPr>
          <w:rFonts w:ascii="Times New Roman" w:hAnsi="Times New Roman" w:cs="Times New Roman"/>
          <w:sz w:val="26"/>
          <w:szCs w:val="26"/>
        </w:rPr>
        <w:t>а областного бюджета – 66674,262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AC3585">
        <w:rPr>
          <w:rFonts w:ascii="Times New Roman" w:hAnsi="Times New Roman" w:cs="Times New Roman"/>
          <w:sz w:val="26"/>
          <w:szCs w:val="26"/>
        </w:rPr>
        <w:t>местного бюджета – 16154,5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C416E4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756E6B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756E6B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EB200D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 </w:t>
            </w:r>
            <w:r w:rsidR="00A232F1"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A232F1" w:rsidRPr="00531463">
              <w:rPr>
                <w:iCs/>
                <w:sz w:val="24"/>
                <w:szCs w:val="24"/>
              </w:rPr>
              <w:t xml:space="preserve">1 </w:t>
            </w:r>
          </w:p>
          <w:p w:rsidR="00A232F1" w:rsidRPr="00531463" w:rsidRDefault="00EB200D" w:rsidP="00EB200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E6812">
              <w:rPr>
                <w:iCs/>
                <w:sz w:val="24"/>
                <w:szCs w:val="24"/>
              </w:rPr>
              <w:t xml:space="preserve">                       </w:t>
            </w:r>
            <w:r w:rsidR="00A232F1" w:rsidRPr="00531463">
              <w:rPr>
                <w:iCs/>
                <w:sz w:val="24"/>
                <w:szCs w:val="24"/>
              </w:rPr>
              <w:t xml:space="preserve">к </w:t>
            </w:r>
            <w:r w:rsidR="00BA30C6">
              <w:rPr>
                <w:iCs/>
                <w:sz w:val="24"/>
                <w:szCs w:val="24"/>
              </w:rPr>
              <w:t>муниципальной про</w:t>
            </w:r>
            <w:r w:rsidR="00A232F1" w:rsidRPr="00531463">
              <w:rPr>
                <w:iCs/>
                <w:sz w:val="24"/>
                <w:szCs w:val="24"/>
              </w:rPr>
              <w:t>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61237,21493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BA30C6">
              <w:rPr>
                <w:b/>
              </w:rPr>
              <w:t>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4263,659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</w:t>
            </w:r>
            <w:r w:rsidR="00CC7A5B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0225,669</w:t>
            </w:r>
          </w:p>
        </w:tc>
        <w:tc>
          <w:tcPr>
            <w:tcW w:w="1134" w:type="dxa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7A5B">
              <w:rPr>
                <w:b/>
              </w:rPr>
              <w:t>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BA30C6">
              <w:rPr>
                <w:b/>
              </w:rPr>
              <w:t>808,3</w:t>
            </w:r>
            <w:r w:rsidR="00CC7A5B">
              <w:rPr>
                <w:b/>
              </w:rPr>
              <w:t>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005AD7" w:rsidRDefault="00B178E2" w:rsidP="004D1595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7A5B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</w:t>
            </w:r>
            <w:r w:rsidR="00B178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4059E" w:rsidRPr="00BF43F8" w:rsidRDefault="0004059E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59E" w:rsidRDefault="0004059E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4059E" w:rsidRPr="00BF43F8" w:rsidRDefault="0004059E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Default="00A72D17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0C6">
              <w:rPr>
                <w:b/>
                <w:sz w:val="24"/>
                <w:szCs w:val="24"/>
              </w:rPr>
              <w:t>6861,028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30C6">
              <w:rPr>
                <w:b/>
              </w:rPr>
              <w:t>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55CCA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</w:t>
            </w:r>
            <w:proofErr w:type="spellStart"/>
            <w:r w:rsidR="004A00D6">
              <w:rPr>
                <w:sz w:val="24"/>
                <w:szCs w:val="24"/>
              </w:rPr>
              <w:t>Вынур</w:t>
            </w:r>
            <w:proofErr w:type="spellEnd"/>
            <w:r w:rsidR="004A00D6">
              <w:rPr>
                <w:sz w:val="24"/>
                <w:szCs w:val="24"/>
              </w:rPr>
              <w:t xml:space="preserve">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32D4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32D4" w:rsidRPr="00BF43F8" w:rsidRDefault="007B32D4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3C3E19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6C80">
              <w:rPr>
                <w:b/>
                <w:sz w:val="24"/>
                <w:szCs w:val="24"/>
              </w:rPr>
              <w:t>03,71907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30C6"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103,71907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D1595" w:rsidP="004D15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EB1442" w:rsidRDefault="00966C80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6C80">
              <w:rPr>
                <w:b/>
              </w:rPr>
              <w:t>626,8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</w:t>
            </w:r>
            <w:r w:rsidR="00966C80">
              <w:rPr>
                <w:b/>
              </w:rPr>
              <w:t>828,762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1939E5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</w:t>
            </w:r>
            <w:r w:rsidR="00966C80">
              <w:rPr>
                <w:b/>
              </w:rPr>
              <w:t>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1595">
              <w:rPr>
                <w:b/>
              </w:rPr>
              <w:t>464,3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A00D6" w:rsidP="004D159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966C80">
              <w:rPr>
                <w:b/>
              </w:rPr>
              <w:t>828,762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BF43F8" w:rsidRDefault="00435BCA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6C80">
              <w:rPr>
                <w:b/>
              </w:rPr>
              <w:t>6154,5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6C80">
              <w:rPr>
                <w:b/>
              </w:rPr>
              <w:t>451,6</w:t>
            </w:r>
          </w:p>
        </w:tc>
        <w:tc>
          <w:tcPr>
            <w:tcW w:w="1134" w:type="dxa"/>
            <w:vAlign w:val="center"/>
          </w:tcPr>
          <w:p w:rsidR="00435BCA" w:rsidRPr="002B3D3E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966C80">
              <w:rPr>
                <w:b/>
              </w:rPr>
              <w:t>6154,5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  </w:t>
      </w:r>
      <w:r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E5297C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EB144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4D1595">
              <w:rPr>
                <w:sz w:val="22"/>
                <w:szCs w:val="22"/>
              </w:rPr>
              <w:t>464,3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EB144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EB144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B259C3" w:rsidRPr="00B259C3" w:rsidTr="00EB144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B1442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EB1442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1D683F">
              <w:rPr>
                <w:sz w:val="22"/>
                <w:szCs w:val="22"/>
              </w:rPr>
              <w:t>464,3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B1442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B1442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6C80">
              <w:rPr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B1442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190A66" w:rsidRPr="00190A66" w:rsidTr="00F32EB0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A97A54">
            <w:pPr>
              <w:rPr>
                <w:iCs/>
                <w:sz w:val="24"/>
                <w:szCs w:val="24"/>
              </w:rPr>
            </w:pPr>
          </w:p>
          <w:p w:rsid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4D1595" w:rsidRPr="00190A66" w:rsidRDefault="004D1595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4D1595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90A66"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90A66" w:rsidRPr="00190A66">
              <w:rPr>
                <w:iCs/>
                <w:sz w:val="24"/>
                <w:szCs w:val="24"/>
              </w:rPr>
              <w:t>2</w:t>
            </w:r>
          </w:p>
          <w:p w:rsidR="00190A66" w:rsidRP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="00190A66" w:rsidRPr="00190A66">
              <w:rPr>
                <w:iCs/>
                <w:sz w:val="24"/>
                <w:szCs w:val="24"/>
              </w:rPr>
              <w:t xml:space="preserve"> 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190A66" w:rsidRPr="00190A66" w:rsidRDefault="0029046B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="00190A66" w:rsidRPr="00190A66">
        <w:rPr>
          <w:sz w:val="24"/>
          <w:szCs w:val="24"/>
        </w:rPr>
        <w:t xml:space="preserve">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190A66" w:rsidRPr="00190A66" w:rsidTr="00190A66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  <w:p w:rsidR="002A3B0A" w:rsidRPr="00190A66" w:rsidRDefault="002A3B0A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7</w:t>
            </w:r>
          </w:p>
        </w:tc>
      </w:tr>
      <w:tr w:rsidR="00190A66" w:rsidRPr="00190A66" w:rsidTr="00966C80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  <w:tr w:rsidR="00966C80" w:rsidRPr="00190A66" w:rsidTr="00966C80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190A66" w:rsidRPr="00024207" w:rsidRDefault="00190A66" w:rsidP="00190A66">
      <w:pPr>
        <w:rPr>
          <w:sz w:val="28"/>
          <w:szCs w:val="28"/>
        </w:rPr>
        <w:sectPr w:rsidR="00190A66" w:rsidRPr="00024207" w:rsidSect="004A00D6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190A66" w:rsidRPr="00B259C3" w:rsidRDefault="00190A66" w:rsidP="00EB1442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B0" w:rsidRDefault="00C879B0" w:rsidP="00531463">
      <w:r>
        <w:separator/>
      </w:r>
    </w:p>
  </w:endnote>
  <w:endnote w:type="continuationSeparator" w:id="0">
    <w:p w:rsidR="00C879B0" w:rsidRDefault="00C879B0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B0" w:rsidRDefault="00C879B0" w:rsidP="00531463">
      <w:r>
        <w:separator/>
      </w:r>
    </w:p>
  </w:footnote>
  <w:footnote w:type="continuationSeparator" w:id="0">
    <w:p w:rsidR="00C879B0" w:rsidRDefault="00C879B0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092E"/>
    <w:rsid w:val="004D1595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3512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22FE-E0F5-4F6A-902C-F9335DB6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1242</Words>
  <Characters>11541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Имя</cp:lastModifiedBy>
  <cp:revision>2</cp:revision>
  <cp:lastPrinted>2016-01-12T06:34:00Z</cp:lastPrinted>
  <dcterms:created xsi:type="dcterms:W3CDTF">2016-01-15T05:26:00Z</dcterms:created>
  <dcterms:modified xsi:type="dcterms:W3CDTF">2016-01-15T05:26:00Z</dcterms:modified>
</cp:coreProperties>
</file>