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02" w:rsidRDefault="00B9356C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302">
        <w:rPr>
          <w:noProof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BB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BB5302" w:rsidRDefault="00BB530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BB5302" w:rsidRDefault="00BB5302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BB5302" w:rsidRDefault="00BB5302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BB53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BB5302" w:rsidRDefault="00BB5302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09.10.2014</w:t>
            </w:r>
          </w:p>
        </w:tc>
        <w:tc>
          <w:tcPr>
            <w:tcW w:w="2873" w:type="dxa"/>
          </w:tcPr>
          <w:p w:rsidR="00BB5302" w:rsidRDefault="00BB5302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BB5302" w:rsidRDefault="00BB530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BB5302" w:rsidRDefault="00BB53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440</w:t>
            </w:r>
          </w:p>
        </w:tc>
      </w:tr>
      <w:tr w:rsidR="00BB53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BB5302" w:rsidRDefault="00BB530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BB5302" w:rsidRDefault="00BB530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B5302" w:rsidRDefault="00BB530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BB5302" w:rsidRDefault="00BB530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11.09.2013 №540</w:t>
            </w:r>
          </w:p>
        </w:tc>
      </w:tr>
    </w:tbl>
    <w:p w:rsidR="00BB5302" w:rsidRDefault="00BB5302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постановлениями администрации Тужинского муниципального района  от 06.06.2013 №314 «О разработке, реализации и оценке эффективности реализации муниципальных программ Тужинского муниципального района» и от 25.06.2014 № 278 «О мерах по составлению проекта бюджета муниципального образования Тужинский муниципальный район на 2015 год и на плановый период 2016-2017 годов», администрация Тужинского района 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BB5302" w:rsidRDefault="00BB5302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Муниципальную программу Тужинского муниципального района  «Развитие физической культуры и спорта» на 2014-2016 годы, утвержденную постановлением администрации Тужинского муниципального района от 11.09.2013 №540 «Об утверждении муниципальной программы Тужинского муниципального района «Развитие физической культуры и спорта» на 2014-2016 годы», изложить в новой редакции. Прилагается.</w:t>
      </w:r>
    </w:p>
    <w:p w:rsidR="00BB5302" w:rsidRDefault="00BB5302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</w:t>
      </w:r>
      <w:r>
        <w:rPr>
          <w:rFonts w:ascii="Times New Roman" w:hAnsi="Times New Roman"/>
          <w:bCs/>
          <w:sz w:val="28"/>
          <w:szCs w:val="28"/>
        </w:rPr>
        <w:t xml:space="preserve">астоящее постановление </w:t>
      </w:r>
      <w:r>
        <w:rPr>
          <w:rStyle w:val="FontStyle13"/>
          <w:sz w:val="28"/>
          <w:szCs w:val="28"/>
        </w:rPr>
        <w:t>вступает в силу с момента опубликования</w:t>
      </w:r>
      <w:r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Style w:val="FontStyle13"/>
          <w:sz w:val="28"/>
          <w:szCs w:val="28"/>
        </w:rPr>
        <w:t>.</w:t>
      </w:r>
    </w:p>
    <w:p w:rsidR="00BB5302" w:rsidRDefault="00BB5302">
      <w:pPr>
        <w:pStyle w:val="Style7"/>
        <w:widowControl/>
        <w:spacing w:line="360" w:lineRule="auto"/>
        <w:ind w:left="708" w:firstLine="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 Контроль за исполнением постановления оставляю за собой.</w:t>
      </w:r>
    </w:p>
    <w:p w:rsidR="00BB5302" w:rsidRDefault="00BB5302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B5302" w:rsidRDefault="00BB5302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B5302" w:rsidRDefault="00BB5302">
      <w:pPr>
        <w:pStyle w:val="Style7"/>
        <w:widowControl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B5302" w:rsidRDefault="00BB5302" w:rsidP="001607CD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BB5302" w:rsidRDefault="00BB5302" w:rsidP="001607CD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607CD">
        <w:rPr>
          <w:rFonts w:ascii="Times New Roman" w:hAnsi="Times New Roman"/>
          <w:sz w:val="28"/>
          <w:szCs w:val="28"/>
        </w:rPr>
        <w:t xml:space="preserve">ужинского муниципального района    </w:t>
      </w:r>
      <w:r>
        <w:rPr>
          <w:rFonts w:ascii="Times New Roman" w:hAnsi="Times New Roman"/>
          <w:sz w:val="28"/>
          <w:szCs w:val="28"/>
        </w:rPr>
        <w:t>Е.В. Видякина</w:t>
      </w:r>
    </w:p>
    <w:p w:rsidR="00B54804" w:rsidRDefault="00B54804" w:rsidP="001607CD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54804" w:rsidRDefault="00B54804" w:rsidP="00B54804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54804" w:rsidRDefault="00B54804" w:rsidP="00B54804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54804" w:rsidRDefault="00B54804" w:rsidP="00B54804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Тужинского муниципального района</w:t>
      </w:r>
      <w:r>
        <w:rPr>
          <w:rFonts w:ascii="Times New Roman" w:hAnsi="Times New Roman"/>
          <w:sz w:val="28"/>
        </w:rPr>
        <w:tab/>
      </w:r>
    </w:p>
    <w:p w:rsidR="00B54804" w:rsidRDefault="00B54804" w:rsidP="00B54804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54804" w:rsidRDefault="00B54804" w:rsidP="00B54804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09.10.2014  № 440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54804" w:rsidRDefault="00B54804" w:rsidP="00B54804">
      <w:pPr>
        <w:jc w:val="right"/>
        <w:rPr>
          <w:rFonts w:ascii="Times New Roman" w:hAnsi="Times New Roman"/>
          <w:sz w:val="28"/>
        </w:rPr>
      </w:pPr>
    </w:p>
    <w:p w:rsidR="00B54804" w:rsidRDefault="00B54804" w:rsidP="00B54804">
      <w:pPr>
        <w:jc w:val="right"/>
        <w:rPr>
          <w:rFonts w:ascii="Times New Roman" w:hAnsi="Times New Roman"/>
          <w:sz w:val="28"/>
        </w:rPr>
      </w:pPr>
    </w:p>
    <w:p w:rsidR="00B54804" w:rsidRDefault="00B54804" w:rsidP="00B54804">
      <w:pPr>
        <w:jc w:val="right"/>
        <w:rPr>
          <w:rFonts w:ascii="Times New Roman" w:hAnsi="Times New Roman"/>
          <w:sz w:val="28"/>
        </w:rPr>
      </w:pPr>
    </w:p>
    <w:p w:rsidR="00B54804" w:rsidRDefault="00B54804" w:rsidP="00B54804">
      <w:pPr>
        <w:jc w:val="right"/>
        <w:rPr>
          <w:rFonts w:ascii="Times New Roman" w:hAnsi="Times New Roman"/>
          <w:sz w:val="28"/>
        </w:rPr>
      </w:pPr>
    </w:p>
    <w:p w:rsidR="00B54804" w:rsidRDefault="00B54804" w:rsidP="00B54804">
      <w:pPr>
        <w:jc w:val="right"/>
        <w:rPr>
          <w:rFonts w:ascii="Times New Roman" w:hAnsi="Times New Roman"/>
          <w:sz w:val="28"/>
        </w:rPr>
      </w:pPr>
    </w:p>
    <w:p w:rsidR="00B54804" w:rsidRDefault="00B54804" w:rsidP="00B54804">
      <w:pPr>
        <w:jc w:val="right"/>
        <w:rPr>
          <w:rFonts w:ascii="Times New Roman" w:hAnsi="Times New Roman"/>
          <w:sz w:val="28"/>
        </w:rPr>
      </w:pPr>
    </w:p>
    <w:p w:rsidR="00B54804" w:rsidRDefault="00B54804" w:rsidP="00B54804">
      <w:pPr>
        <w:jc w:val="right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:rsidR="00B54804" w:rsidRDefault="00B54804" w:rsidP="00B548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ТУЖИНСКОГО МУНИЦИПАЛЬНОГО РАЙОНА</w:t>
      </w:r>
    </w:p>
    <w:p w:rsidR="00B54804" w:rsidRDefault="00B54804" w:rsidP="00B548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«РАЗВИТИЕ ФИЗИЧЕСКОЙ КУЛЬТУРЫ И СПОРТА»</w:t>
      </w:r>
    </w:p>
    <w:p w:rsidR="00B54804" w:rsidRDefault="00B54804" w:rsidP="00B548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2014-201</w:t>
      </w:r>
      <w:r w:rsidRPr="00B54804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 ГОДЫ</w:t>
      </w:r>
    </w:p>
    <w:p w:rsidR="00B54804" w:rsidRDefault="00B54804" w:rsidP="00B54804">
      <w:pPr>
        <w:jc w:val="center"/>
        <w:rPr>
          <w:rFonts w:ascii="Times New Roman" w:hAnsi="Times New Roman"/>
          <w:b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пгт Тужа</w:t>
      </w:r>
    </w:p>
    <w:p w:rsidR="00B54804" w:rsidRDefault="00B54804" w:rsidP="00B5480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 год</w:t>
      </w:r>
    </w:p>
    <w:p w:rsidR="00B54804" w:rsidRDefault="00B54804" w:rsidP="00B5480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ПАСПОРТ</w:t>
      </w:r>
    </w:p>
    <w:p w:rsidR="00B54804" w:rsidRDefault="00B54804" w:rsidP="00B5480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муниципальной программы Тужинского муниципального района</w:t>
      </w:r>
    </w:p>
    <w:p w:rsidR="00B54804" w:rsidRDefault="00B54804" w:rsidP="00B5480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«Развитие физической культуры и спорта» на 2014-2018 годы</w:t>
      </w:r>
    </w:p>
    <w:p w:rsidR="00B54804" w:rsidRDefault="00B54804" w:rsidP="00B54804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Ответственный исполнитель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P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Отдел социальных отношений администрации Тужинского муниципального района </w:t>
            </w:r>
          </w:p>
          <w:p w:rsidR="00B54804" w:rsidRP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Отсутствуют</w:t>
            </w:r>
          </w:p>
        </w:tc>
      </w:tr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подпрограмм*</w:t>
            </w:r>
          </w:p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Отсутствуют</w:t>
            </w:r>
          </w:p>
        </w:tc>
      </w:tr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Отсутствуют</w:t>
            </w:r>
          </w:p>
        </w:tc>
      </w:tr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Цели муниципальной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развитие физической культуры и спорта для обеспечения гарантий доступности жителей района к развитой спортивной инфраструктуре, приобщение различных слоёв населения к регулярным занятиям физической культурой и спортом; 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повышение конкурентоспособности спортсменов Тужинского района на областном, всероссийском уровне;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организация предоставления дополнительного образования детям в области физкультуры, спорта и подготовка спортивного резерва в Тужинском районе</w:t>
            </w:r>
          </w:p>
        </w:tc>
      </w:tr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укрепление материально-технической базы для занятий физической культурой и спортом за счет строительства новых и реконструкции имеющихся спортивных объектов;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развитие массового спорта среди различных категорий и групп населения, в том числе в образовательных учреждениях;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пропаганда физической культуры и здорового образа жизни;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оказание муниципальных услуг по предоставлению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дополнительного образования в сфере физической культуры и спорта (услуги спортивной школы);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развитие детско-юношеского спорта (совершенствование подготовки спортивного резерва);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сохранение кадрового потенциала спортивной школы.</w:t>
            </w:r>
          </w:p>
        </w:tc>
      </w:tr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</w:t>
            </w:r>
            <w:r>
              <w:rPr>
                <w:rFonts w:ascii="Times New Roman" w:hAnsi="Times New Roman"/>
                <w:sz w:val="28"/>
              </w:rPr>
              <w:t>беспеченность спортивными залами;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</w:t>
            </w:r>
            <w:r>
              <w:rPr>
                <w:rFonts w:ascii="Times New Roman" w:hAnsi="Times New Roman"/>
                <w:sz w:val="28"/>
              </w:rPr>
              <w:t>беспеченность плоскостными сооружениями;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удельный вес населения, систематически занимающегося физкультурой и спортом;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</w:t>
            </w:r>
            <w:r>
              <w:rPr>
                <w:rFonts w:ascii="Times New Roman" w:hAnsi="Times New Roman"/>
                <w:sz w:val="28"/>
              </w:rPr>
              <w:t>реднегодовая численность детей и подростков, занимающихся в учреждениях дополнительного образования спортивной направленности (ДЮСШ) (чел.);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</w:t>
            </w:r>
            <w:r>
              <w:rPr>
                <w:rFonts w:ascii="Times New Roman" w:hAnsi="Times New Roman"/>
                <w:sz w:val="28"/>
              </w:rPr>
              <w:t>оличество физкультурных и спортивно-массовых мероприятий, проводимых на территории района в год;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</w:t>
            </w:r>
            <w:r>
              <w:rPr>
                <w:rFonts w:ascii="Times New Roman" w:hAnsi="Times New Roman"/>
                <w:sz w:val="28"/>
              </w:rPr>
              <w:t>оличество реконструированных и вновь построенных спортивных объектов за год;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доля</w:t>
            </w:r>
            <w:r>
              <w:rPr>
                <w:rFonts w:ascii="Times New Roman" w:hAnsi="Times New Roman"/>
                <w:sz w:val="28"/>
              </w:rPr>
              <w:t xml:space="preserve"> занимающихся, которые имеют 1 взрослый разряд и выше от количества обучающихся в учебно-тренировочных группах (%)</w:t>
            </w:r>
          </w:p>
        </w:tc>
      </w:tr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2014-2018 годы. Программа не предусматривает разбивки на этапы.</w:t>
            </w:r>
          </w:p>
        </w:tc>
      </w:tr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 ассигнований на реализацию муниципальной программы составляет 272,1 тыс. рублей, в том числе: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средства областного бюджета – 82,4тыс. руб.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средства местного бюджета –  всего –189,7 тыс. рублей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–35,7 тыс. рублей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67,8 тыс. рублей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61,8 тыс. рублей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2017г. – 65,8 тыс. рублей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2018г. – 41,0 тыс. рублей.</w:t>
            </w:r>
          </w:p>
        </w:tc>
      </w:tr>
      <w:tr w:rsidR="00B54804" w:rsidTr="00B54804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количественном выражении к концу 2018 г.: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обеспеченность спортивными залами составит 3,33 тыс. кв.м. на 10 тыс. человек;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обеспеченность плоскостными сооружениями составит 76,5 тыс. кв.м. на 10 тыс. человек;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увеличится удельный вес населения, систематически занимающегося физической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культурой и спортом, до 27%;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среднегодовая численность детей и подростков, занимающихся в учреждениях дополнительного образования спортивной направленности (ДЮСШ) возрастёт до 230 человек;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количество физкультурных и спортивно-массовых мероприятий, проводимых на территории района, составит 40 в год;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ежегодно будет реконструироваться или вновь строиться по 1 спортивному объекту;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количество занимающихся, которые имеют 1 взрослый разряд и выше от количества обучающихся в учебно-тренировочных группах составит не менее 15%.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качественном выражении: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повысится качество дополнительного образования в сфере физической культуры и спорта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на уровне прежних лет останется количество проводимых физкультурных и спортивно-массовых мероприятий;</w:t>
            </w:r>
          </w:p>
          <w:p w:rsidR="00B54804" w:rsidRDefault="00B5480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повысится качество дополнительного образования в сфере физической культуры и спорта.</w:t>
            </w:r>
          </w:p>
        </w:tc>
      </w:tr>
    </w:tbl>
    <w:p w:rsidR="00B54804" w:rsidRDefault="00B54804" w:rsidP="00B54804">
      <w:pPr>
        <w:pStyle w:val="a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* - </w:t>
      </w:r>
      <w:r>
        <w:rPr>
          <w:rFonts w:ascii="Times New Roman" w:hAnsi="Times New Roman"/>
          <w:bCs/>
          <w:sz w:val="28"/>
          <w:szCs w:val="24"/>
        </w:rPr>
        <w:t>указываются при их наличии</w:t>
      </w:r>
    </w:p>
    <w:p w:rsidR="00B54804" w:rsidRDefault="00B54804" w:rsidP="00B54804">
      <w:pPr>
        <w:pStyle w:val="a8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B54804" w:rsidRDefault="00B54804" w:rsidP="00B54804">
      <w:pPr>
        <w:pStyle w:val="a8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 Общая характеристика сферы физической культуры и спорта, </w:t>
      </w:r>
    </w:p>
    <w:p w:rsidR="00B54804" w:rsidRDefault="00B54804" w:rsidP="00B54804">
      <w:pPr>
        <w:pStyle w:val="a8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 том числе формулировки основных проблем в указанной сфере </w:t>
      </w:r>
    </w:p>
    <w:p w:rsidR="00B54804" w:rsidRDefault="00B54804" w:rsidP="00B54804">
      <w:pPr>
        <w:pStyle w:val="a8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 прогноз её развития</w:t>
      </w:r>
    </w:p>
    <w:p w:rsidR="00B54804" w:rsidRDefault="00B54804" w:rsidP="00B54804">
      <w:pPr>
        <w:pStyle w:val="a8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B54804" w:rsidRDefault="00B54804" w:rsidP="00B54804">
      <w:pPr>
        <w:pStyle w:val="a3"/>
        <w:rPr>
          <w:szCs w:val="24"/>
        </w:rPr>
      </w:pPr>
      <w:r>
        <w:t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настоящее время в сфере физической культуры и спорта Тужинского района сложилась непростая ситуация, характеризующаяся рядом проблем, в том числе системных, которые составляют основу для разработки задач и мероприятий Муниципальной  программы.</w:t>
      </w: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Одной из важных проблем является недостаточное количество граждан, </w:t>
      </w:r>
      <w:r>
        <w:rPr>
          <w:rFonts w:ascii="Times New Roman" w:hAnsi="Times New Roman"/>
          <w:sz w:val="28"/>
          <w:szCs w:val="24"/>
        </w:rPr>
        <w:lastRenderedPageBreak/>
        <w:t>занимающихся спортом. Статистика свидетельствует, что в настоящее время Тужинский район занимает лидирующие позиции в этом направлении. Доля граждан, систематически занимающихся физической культурой и спортом, в области на 31.12.2012 не превышает 19,4% , а  в районе  26,8 %  населения занимаются физической культурой и спортом.</w:t>
      </w: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Обеспеченность спортивными объектами вроде бы не вызывает тревоги,  но за последние годы построен только физкультурно-оздоровительный комплекс (ФОК), общее количество спортивных сооружений составляет 36 единиц. При этом степень морального и физического износа спортивных сооружений статистикой не учитывается. По оценкам специалистов управления по физической культуре и спорту Кировской области, до 90% спортивных сооружений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соревнований. Эти проблемы вызваны недостаточным финансированием сферы физической культуры и спорта в предыдущие годы. Несмотря на тенденцию к незначительному увеличению бюджетного финансирования физической культуры и спорта, а также рост количества людей, активно занимающихся спортом, направленность и объем бюджетных расходов на сегодняшний день далеки от оптимальных.</w:t>
      </w: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Немаловажной проблемой, препятствующей занятиям спортом, является неразвитая система инфраструктуры современных видов спорта, которые особо привлекательны для молодежи (сноуборд, скейтинг, би-эм-икс, артистик-слалом, спидскейтинг).</w:t>
      </w: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31.12.2012  численность учащихся в детско-юношеской спортивной школы района(далее - ДЮСШ) достигла 222 человека</w:t>
      </w: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Численность занимающихся в спортивной школе на этапах подготовки по состоянию на конец 2012 года представлена в таблице 1.</w:t>
      </w:r>
    </w:p>
    <w:p w:rsidR="00B54804" w:rsidRDefault="00B54804" w:rsidP="00B54804">
      <w:pPr>
        <w:pStyle w:val="a8"/>
        <w:ind w:left="0"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Таблица 1 </w:t>
      </w:r>
    </w:p>
    <w:tbl>
      <w:tblPr>
        <w:tblW w:w="1066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624"/>
        <w:gridCol w:w="799"/>
        <w:gridCol w:w="794"/>
        <w:gridCol w:w="747"/>
        <w:gridCol w:w="844"/>
        <w:gridCol w:w="806"/>
        <w:gridCol w:w="785"/>
        <w:gridCol w:w="755"/>
        <w:gridCol w:w="836"/>
        <w:gridCol w:w="814"/>
        <w:gridCol w:w="777"/>
        <w:gridCol w:w="763"/>
      </w:tblGrid>
      <w:tr w:rsidR="00B54804" w:rsidTr="00B54804">
        <w:trPr>
          <w:cantSplit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этапа</w:t>
            </w:r>
          </w:p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подготовки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</w:t>
            </w:r>
          </w:p>
        </w:tc>
      </w:tr>
      <w:tr w:rsidR="00B54804" w:rsidTr="00B54804">
        <w:trPr>
          <w:cantSplit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</w:tr>
      <w:tr w:rsidR="00B54804" w:rsidTr="00B5480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Спортивно-оздорови-тельный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62,2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60,8</w:t>
            </w:r>
          </w:p>
        </w:tc>
      </w:tr>
      <w:tr w:rsidR="00B54804" w:rsidTr="00B5480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Начальной подготовки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26,1</w:t>
            </w:r>
          </w:p>
        </w:tc>
      </w:tr>
      <w:tr w:rsidR="00B54804" w:rsidTr="00B5480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учебно-</w:t>
            </w:r>
          </w:p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трениро-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вочный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13,1222</w:t>
            </w:r>
          </w:p>
        </w:tc>
      </w:tr>
      <w:tr w:rsidR="00B54804" w:rsidTr="00B5480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Всего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</w:tr>
    </w:tbl>
    <w:p w:rsidR="00B54804" w:rsidRDefault="00B54804" w:rsidP="00B548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спортивной школе от общего количества занимающихся доля учащихся в возрасте до 14 лет составила 46,8%, от 15 до 30 лет – 53,2%.</w:t>
      </w:r>
    </w:p>
    <w:p w:rsidR="00B54804" w:rsidRDefault="00B54804" w:rsidP="00B54804">
      <w:pPr>
        <w:pStyle w:val="3"/>
        <w:rPr>
          <w:rFonts w:ascii="Times New Roman" w:hAnsi="Times New Roman"/>
          <w:sz w:val="28"/>
          <w:szCs w:val="24"/>
        </w:rPr>
      </w:pPr>
      <w:r>
        <w:t>На 31.12.2012 в области физического воспитания детей и молодежи в учреждениях спортивной направленности работают 25 человек, из которых 88,0% физкультурных работников имеют высшее и среднее специальное физкультурное образование. Во многом проблема развития кадрового потенциала связана с низким размером заработной платы молодых специалистов. Невысокий уровень финансирования учреждений не позволяет направлять специалистов на повышение квалификации на факультеты подготовки и переподготовки кадров высших учебных заведений, подведомственных Министерству спорта Российской Федерации. Данная ситуация не позволяет своевременно изучать, осваивать современные спортивные методики подготовки спортсменов на разных этапах спортивной подготовки.</w:t>
      </w: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Особое внимание в Тужинском районе оказывается проведению физкультурных и спортивных мероприятий. Так, в 2011 году было проведено 38 спортивно-оздоровительных мероприятий, но уже в 2012 году несмотря на уменьшение бюджетного финансирования проведено 40 мероприятий. В то же время требуется уделять внимание и мероприятиям любительского спорта, а также повышению уровня зрелищности проводимых мероприятий, чтобы они стали инструментом пропаганды спорта.</w:t>
      </w: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Развитие физического воспитания, в свою очередь, требует решения проблемы привлечения к занятиям спортом различных слоев населения путем распространения массовых физкультурно-оздоровительных занятий для граждан старшего возраста, таких, как "55 +".</w:t>
      </w:r>
    </w:p>
    <w:p w:rsidR="00B54804" w:rsidRDefault="00B54804" w:rsidP="00B548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Существующая законодательная база предполагает самостоятельность органов местного самоуправления в решении социальных вопросов, в том числе вопросов развития физической культуры и спорта, что приводит к существенной разнице в подходах к организации дополнительного образования и участию сборных команд района в областных соревнованиях. Необходимо учитывать, что физическое воспитание детей, молодежи и подготовка спортивного резерва являются многолетним целенаправленным учебно-тренировочным процессом по видам спорта, осуществляемым как в образовательных учреждениях дополнительного образования детей, так и в учреждениях, организациях в сфере физической культуры и спорта, начиная со спортивно-оздоровительного этапа и заканчивая этапом высшего спортивного мастерства.</w:t>
      </w:r>
    </w:p>
    <w:p w:rsidR="00B54804" w:rsidRDefault="00B54804" w:rsidP="00B54804">
      <w:pPr>
        <w:pStyle w:val="a8"/>
        <w:ind w:firstLine="696"/>
        <w:jc w:val="both"/>
        <w:rPr>
          <w:rFonts w:ascii="Times New Roman" w:hAnsi="Times New Roman"/>
          <w:sz w:val="28"/>
          <w:szCs w:val="24"/>
        </w:rPr>
      </w:pPr>
    </w:p>
    <w:p w:rsidR="00B54804" w:rsidRDefault="00B54804" w:rsidP="00B54804">
      <w:pPr>
        <w:pStyle w:val="a8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Приоритеты муниципальной политики в сфере физической культуры и спорта, цели, задачи, целевые показатели эффективности реализации Муниципальной программы, ожидаемые конечные результаты реализации Муниципальной программы, сроки и этапы реализации Муниципальной программы</w:t>
      </w:r>
    </w:p>
    <w:p w:rsidR="00B54804" w:rsidRDefault="00B54804" w:rsidP="00B54804">
      <w:pPr>
        <w:pStyle w:val="a8"/>
        <w:ind w:left="0"/>
        <w:rPr>
          <w:rFonts w:ascii="Times New Roman" w:hAnsi="Times New Roman"/>
          <w:b/>
          <w:sz w:val="28"/>
          <w:szCs w:val="24"/>
        </w:rPr>
      </w:pP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Основными целями муниципальной политики в сфере физической культуры и спорта являются: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физической культуры и спорта для обеспечения гарантий доступности жителей района к развитой спортивной инфраструктуре, приобщение различных слоёв населения к регулярным занятиям физической культурой и спортом, повышение конкурентоспособности спортсменов района на областном, всероссийском уровне;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организация предоставления дополнительного образования детям в области физкультуры, спорта и подготовка спортивного  резерва в Тужинском районе.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Достижение этих целей предполагает решение следующих задач: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укрепление материально-технической базы для занятий физической культурой и спортом за счет строительства новых и реконструкции имеющихся спортивных объектов;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массового спорта среди различных категорий и групп населения, в том числе в образовательных учреждениях;</w:t>
      </w:r>
    </w:p>
    <w:p w:rsidR="00B54804" w:rsidRDefault="00B54804" w:rsidP="00B54804">
      <w:pPr>
        <w:pStyle w:val="a8"/>
        <w:spacing w:after="0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пропаганда физической культуры и здорового образа жизни;</w:t>
      </w:r>
    </w:p>
    <w:p w:rsidR="00B54804" w:rsidRDefault="00B54804" w:rsidP="00B54804">
      <w:pPr>
        <w:pStyle w:val="a8"/>
        <w:spacing w:after="0"/>
        <w:ind w:left="0" w:firstLine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оказание муниципальных услуг по предоставлению дополнительного образования в сфере физической культуры и спорта (услуги спортивной школы);</w:t>
      </w:r>
    </w:p>
    <w:p w:rsidR="00B54804" w:rsidRDefault="00B54804" w:rsidP="00B54804">
      <w:pPr>
        <w:pStyle w:val="a8"/>
        <w:spacing w:after="0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детско-юношеского спорта (совершенствование подготовки спортивного резерва);</w:t>
      </w:r>
    </w:p>
    <w:p w:rsidR="00B54804" w:rsidRDefault="00B54804" w:rsidP="00B54804">
      <w:pPr>
        <w:pStyle w:val="a8"/>
        <w:spacing w:after="0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сохранение кадрового потенциала спортивной школы.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Источниками информации о значениях целевых показателей являются ведомственная и статистическая отчетность. Расчетные показатели и методика их расчета приведены в таблице 2.</w:t>
      </w:r>
    </w:p>
    <w:p w:rsidR="00B54804" w:rsidRDefault="00B54804" w:rsidP="00B54804">
      <w:pPr>
        <w:pStyle w:val="a8"/>
        <w:ind w:left="0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2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29"/>
        <w:gridCol w:w="4748"/>
      </w:tblGrid>
      <w:tr w:rsidR="00B54804" w:rsidTr="00B548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расчёта</w:t>
            </w:r>
          </w:p>
        </w:tc>
      </w:tr>
      <w:tr w:rsidR="00B54804" w:rsidTr="00B548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спортивными залами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</w:rPr>
              <w:object w:dxaOrig="13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5pt" o:ole="">
                  <v:imagedata r:id="rId8" o:title=""/>
                </v:shape>
                <o:OLEObject Type="Embed" ProgID="Equation.3" ShapeID="_x0000_i1025" DrawAspect="Content" ObjectID="_1519034503" r:id="rId9"/>
              </w:objec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Оз – </w:t>
            </w:r>
            <w:r>
              <w:rPr>
                <w:rFonts w:ascii="Times New Roman" w:hAnsi="Times New Roman"/>
                <w:sz w:val="28"/>
              </w:rPr>
              <w:t>обеспеченность спортивными залами (тыс.кв.м. на 10 тыс человек);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Пз – </w:t>
            </w:r>
            <w:r>
              <w:rPr>
                <w:rFonts w:ascii="Times New Roman" w:hAnsi="Times New Roman"/>
                <w:sz w:val="28"/>
              </w:rPr>
              <w:t>общая площадь спортивных залов на конец отчетного периода по форме статистической отчетности № 1-ФК (тыс.кв.м.);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Чис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численность постоянного населения муниципального образования на начало года, следующего за отчетным, по данным </w:t>
            </w:r>
            <w:r>
              <w:rPr>
                <w:rFonts w:ascii="Times New Roman" w:hAnsi="Times New Roman"/>
                <w:sz w:val="28"/>
              </w:rPr>
              <w:lastRenderedPageBreak/>
              <w:t>статотчёта (тыс. человек)</w:t>
            </w:r>
          </w:p>
        </w:tc>
      </w:tr>
      <w:tr w:rsidR="00B54804" w:rsidTr="00B548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плоскостными сооружениями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</w:rPr>
              <w:object w:dxaOrig="1520" w:dyaOrig="620">
                <v:shape id="_x0000_i1026" type="#_x0000_t75" style="width:75.75pt;height:30.75pt" o:ole="">
                  <v:imagedata r:id="rId10" o:title=""/>
                </v:shape>
                <o:OLEObject Type="Embed" ProgID="Equation.3" ShapeID="_x0000_i1026" DrawAspect="Content" ObjectID="_1519034504" r:id="rId11"/>
              </w:objec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Осс – </w:t>
            </w:r>
            <w:r>
              <w:rPr>
                <w:rFonts w:ascii="Times New Roman" w:hAnsi="Times New Roman"/>
                <w:sz w:val="28"/>
              </w:rPr>
              <w:t>обеспеченность плоскостными спортивными сооружениями (тыс.кв.метров на 10 тыс. человек);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Псс – </w:t>
            </w:r>
            <w:r>
              <w:rPr>
                <w:rFonts w:ascii="Times New Roman" w:hAnsi="Times New Roman"/>
                <w:sz w:val="28"/>
              </w:rPr>
              <w:t>общая площадь плоскостных спортивных сооружений на конец отчетного периода пол форме статистической отчетности № 1-ФК (тыс. кв. метров);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Чис - </w:t>
            </w:r>
            <w:r>
              <w:rPr>
                <w:rFonts w:ascii="Times New Roman" w:hAnsi="Times New Roman"/>
                <w:sz w:val="28"/>
              </w:rPr>
              <w:t>численность постоянного населения муниципального образования на начало года, следующего за отчетным, по данным статотчёта (тыс. человек)</w:t>
            </w:r>
          </w:p>
        </w:tc>
      </w:tr>
      <w:tr w:rsidR="00B54804" w:rsidTr="00B548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position w:val="-44"/>
                <w:sz w:val="28"/>
              </w:rPr>
              <w:object w:dxaOrig="1719" w:dyaOrig="1000">
                <v:shape id="_x0000_i1027" type="#_x0000_t75" style="width:86.25pt;height:50.25pt" o:ole="">
                  <v:imagedata r:id="rId12" o:title=""/>
                </v:shape>
                <o:OLEObject Type="Embed" ProgID="Equation.3" ShapeID="_x0000_i1027" DrawAspect="Content" ObjectID="_1519034505" r:id="rId13"/>
              </w:objec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Ув </w:t>
            </w:r>
            <w:r>
              <w:rPr>
                <w:rFonts w:ascii="Times New Roman" w:hAnsi="Times New Roman"/>
                <w:sz w:val="28"/>
              </w:rPr>
              <w:t>– удельный вес населения, систематически занимающегося физической культурой и спортом ( процентов);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Чз – </w:t>
            </w:r>
            <w:r>
              <w:rPr>
                <w:rFonts w:ascii="Times New Roman" w:hAnsi="Times New Roman"/>
                <w:sz w:val="28"/>
              </w:rPr>
              <w:t>численность населения, систематически занимающегося физической культурой и спортом на конец отчетного периода по форме статистической отчетности № 1-ФК (тыс. человек);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Чис – </w:t>
            </w:r>
            <w:r>
              <w:rPr>
                <w:rFonts w:ascii="Times New Roman" w:hAnsi="Times New Roman"/>
                <w:sz w:val="28"/>
              </w:rPr>
              <w:t>численность постоянного населения муниципального образования на начало года, следующего за отчетным, по данным статотчёта (тыс. человек)</w:t>
            </w:r>
          </w:p>
        </w:tc>
      </w:tr>
      <w:tr w:rsidR="00B54804" w:rsidTr="00B548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Среднегодовая численность детей и подростков, занимающихся в учреждениях дополнительного образования спортивной направленности </w:t>
            </w:r>
            <w:r>
              <w:rPr>
                <w:rFonts w:ascii="Times New Roman" w:hAnsi="Times New Roman"/>
                <w:sz w:val="28"/>
              </w:rPr>
              <w:lastRenderedPageBreak/>
              <w:t>(ДЮСШ)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Скз = (Чснг+Чскг)/2</w: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Скз</w:t>
            </w:r>
            <w:r>
              <w:rPr>
                <w:rFonts w:ascii="Times New Roman" w:hAnsi="Times New Roman"/>
                <w:sz w:val="28"/>
              </w:rPr>
              <w:t xml:space="preserve"> – среднегодовое количество занимающихся (обучающихся в спортивных школах (человек);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 xml:space="preserve">Чснг </w:t>
            </w:r>
            <w:r>
              <w:rPr>
                <w:rFonts w:ascii="Times New Roman" w:hAnsi="Times New Roman"/>
                <w:sz w:val="28"/>
              </w:rPr>
              <w:t>– количество занимающихся (обучающихся) в спортивных школах на начало отчетного периода по данным формы статистической отчетности №5-ФК (человек)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Чскг – </w:t>
            </w:r>
            <w:r>
              <w:rPr>
                <w:rFonts w:ascii="Times New Roman" w:hAnsi="Times New Roman"/>
                <w:sz w:val="28"/>
              </w:rPr>
              <w:t>количество занимающихся (обучающихся) в спортивных школах на конец отчетного периода по данным формы статистической отчетности №5-ФК (человек)</w:t>
            </w:r>
          </w:p>
        </w:tc>
      </w:tr>
      <w:tr w:rsidR="00B54804" w:rsidTr="00B548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</w:p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Расчет будет производится по предоставленным материалам</w:t>
            </w:r>
          </w:p>
        </w:tc>
      </w:tr>
      <w:tr w:rsidR="00B54804" w:rsidTr="00B548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реконструированных и вновь построенных спортивных объектов за год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Расчет будет производится по предоставленным материалам</w:t>
            </w:r>
          </w:p>
        </w:tc>
      </w:tr>
      <w:tr w:rsidR="00B54804" w:rsidTr="00B548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занимающихся, которые имеют 1 взрослый разряд и выше от количества обучающихся в учебно-тренировочных группах (%)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Расчет будет производится по предоставленным материалам</w:t>
            </w:r>
          </w:p>
        </w:tc>
      </w:tr>
    </w:tbl>
    <w:p w:rsidR="00B54804" w:rsidRDefault="00B54804" w:rsidP="00B54804">
      <w:pPr>
        <w:pStyle w:val="a8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Муниципальная программа реализуется в 2014-2018 годах.</w:t>
      </w: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новый качественный уровень выйдет система проведения физкультурных и спортивных мероприятий;</w:t>
      </w: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уровне прежних лет останется количество проводимых физкультурных и спортивно-массовых мероприятий;</w:t>
      </w: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повысится качество дополнительного образования в сфере физической культуры и спорта.</w:t>
      </w: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Сведения о количественных значениях целевых показателей эффективности реализации Муниципальной программы приведены в приложении № 1 к Муниципальной программе.</w:t>
      </w:r>
    </w:p>
    <w:p w:rsidR="00B54804" w:rsidRDefault="00B54804" w:rsidP="00B54804">
      <w:pPr>
        <w:pStyle w:val="a8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 Обобщенная характеристика мероприятий Муниципальной программы</w:t>
      </w:r>
    </w:p>
    <w:p w:rsidR="00B54804" w:rsidRDefault="00B54804" w:rsidP="00B54804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Достижение целей и решение задач программы осуществляется путем скоординированного выполнения комплекса взаимоувязанных по срокам, </w:t>
      </w:r>
      <w:r>
        <w:rPr>
          <w:rFonts w:ascii="Times New Roman" w:hAnsi="Times New Roman"/>
          <w:sz w:val="28"/>
          <w:szCs w:val="24"/>
        </w:rPr>
        <w:lastRenderedPageBreak/>
        <w:t>ресурсам, исполнителям и результатам мероприятий. (Приложение № 2 к Муниципальной программе)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«Укрепление материально-технической базы для занятий физической культурой и спортом за счет строительства новых и реконструкции имеющихся спортивных объектов» осуществляется путём: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реконструкции и строительства новых спортивных объектов, спортивных площадок;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развития и создания условий для эффективного использования спортивной инфраструктуры.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«Развитие массового спорта среди различных категорий и групп населения, в том числе в образовательных учреждениях» осуществляется путём: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предоставления услуг в сфере физкультуры и спорта на спортивных сооружениях общеобразовательных и спортивной школ и учреждениях спортивной направленности района;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привлечения различных категорий и групп населения к участию в различных физкультурно-оздоровительных районных мероприятиях;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физкультурно-оздоровительных мероприятий на районном уровне в дошкольных учреждениях;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физкультурно-оздоровительных мероприятий в образовательных учреждениях;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районных Спартакиад среди работников трудовых коллективов, работников образовательных учреждений.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«Пропаганда физической культуры и здорового образа жизни» осуществляется путем: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районных массовых спортивных мероприятий (Лыжня России, Кросс наций и т.д.);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информирования населения о проводимых мероприятиях, лучших спортсменах, их достижениях через СМИ;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рекламы проводимых мероприятий;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спортивного праздника «В труде и спорте»;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изготовления баннера, пропагандирующего здоровый образ жизни.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рамках отдельного мероприятия будет реализовываться «Организация предоставления дополнительного образования детям в области физкультуры. спорта и подготовка спортивного резерва в Тужинском районе». Достижение этой цели предполагает решение следующих задач: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оказание муниципальных услуг по предоставлению дополнительного образования в сфере физической культуры и спорта (услуги спортивной школы);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детско-юношеского спорта (совершенствование подготовки спортивного резерва);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сохранение кадрового потенциала (спортивной школы).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«Оказание муниципальных услуг по предоставлению дополнительного образования в сфере физической культуры и спорта (услуги спортивной школы)» осуществляется путём: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информирования населения о расположении спортивной школы, видах спорта, графике работы, набора в секции;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рекламы видов спорта.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«Развитие детско-юношеского спорта (совершенствование подготовки спортивного резерва)» осуществляется путём: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районных, областных, межрегиональных физкультурных и спортивных мероприятий на территории района;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обеспечения участия сборных команд и ведущих спортсменов спортивной школы района в областных, региональных, всероссийских физкультурных и спортивных мероприятиях;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обеспечения качественным спортивным инвентарём.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«Сохранение кадрового потенциала спортивной школы» осуществляется путём: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выплат педагогическим работникам;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выплат педагогическим работникам, имеющим высшую категорию;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предоставление возможности повышения квалификации;</w:t>
      </w:r>
    </w:p>
    <w:p w:rsidR="00B54804" w:rsidRDefault="00B54804" w:rsidP="00B54804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присвоение категорий по итогам прохождения курсов повышения квалификации и результатов работы.</w:t>
      </w:r>
    </w:p>
    <w:p w:rsidR="00B54804" w:rsidRDefault="00B54804" w:rsidP="00B54804">
      <w:pPr>
        <w:pStyle w:val="a8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B54804" w:rsidRDefault="00B54804" w:rsidP="00B54804">
      <w:pPr>
        <w:pStyle w:val="a8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 Основные меры правового регулирования в сфере реализации</w:t>
      </w:r>
    </w:p>
    <w:p w:rsidR="00B54804" w:rsidRDefault="00B54804" w:rsidP="00B54804">
      <w:pPr>
        <w:pStyle w:val="a8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Муниципальной программы</w:t>
      </w:r>
    </w:p>
    <w:p w:rsidR="00B54804" w:rsidRDefault="00B54804" w:rsidP="00B54804">
      <w:pPr>
        <w:pStyle w:val="a8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настоящее время сформирована и утверждена нормативная правовая база, необходимая для реализации Муниципальной программы. В дальнейшем разработка дополнительных нормативных правовых актов будет обусловлена изменениями законодательства Российской Федерации, Кировской области и муниципальных правовых актов.</w:t>
      </w:r>
    </w:p>
    <w:p w:rsidR="00B54804" w:rsidRDefault="00B54804" w:rsidP="00B54804">
      <w:pPr>
        <w:pStyle w:val="a8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B54804" w:rsidRDefault="00B54804" w:rsidP="00B54804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B54804" w:rsidRDefault="00B54804" w:rsidP="00B54804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2014-2018 годах составляет 272,1 тыс. рублей, в том числе за счет средств: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 82,4 тыс. рублей;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бюджета муниципального образования 189,7 тыс. рублей;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Финансовое обеспечение Муниципальной программы за счет средств федерального и областного бюджетов осуществляется в форме </w:t>
      </w:r>
      <w:r>
        <w:rPr>
          <w:rFonts w:ascii="Times New Roman" w:hAnsi="Times New Roman"/>
          <w:sz w:val="28"/>
          <w:szCs w:val="24"/>
        </w:rPr>
        <w:lastRenderedPageBreak/>
        <w:t>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B54804" w:rsidRDefault="00B54804" w:rsidP="00B54804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B54804" w:rsidRDefault="00B54804" w:rsidP="00B54804">
      <w:pPr>
        <w:pStyle w:val="a8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B54804" w:rsidRDefault="00B54804" w:rsidP="00B54804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 Анализ рисков реализации Муниципальной программы </w:t>
      </w:r>
    </w:p>
    <w:p w:rsidR="00B54804" w:rsidRDefault="00B54804" w:rsidP="00B54804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 описание мер управления рисками</w:t>
      </w: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достижения целей и конечных результатов Муниципальной программы отделом социальных отношений администрации Тужинского муниципального района будет осуществляться координация деятельности всех субъектов, участвующих в реализации Муниципальной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 </w:t>
      </w: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рискам реализации Муниципальной программы можно отнести следующие:</w:t>
      </w: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6.1. 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Муниципальной программы в полном объёме.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Муниципальной программы.</w:t>
      </w:r>
    </w:p>
    <w:p w:rsidR="00B54804" w:rsidRDefault="00B54804" w:rsidP="00B54804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6.2. Риск финансового обеспечения, который связан с финансированием Муниципальной программы в неполном объёме как за счет бюджетных, так и за счет внебюджетных источников. Учитывая формируемую практику программного бюджетирования в части обеспечения реализации Муниципальной программы за счет средств бюджетов. а также меры по созданию условий для привлечения средств внебюджетных источников. риск сбоев в реализации Муниципальной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</w:t>
      </w:r>
      <w:r>
        <w:rPr>
          <w:rFonts w:ascii="Times New Roman" w:hAnsi="Times New Roman"/>
          <w:sz w:val="28"/>
          <w:szCs w:val="24"/>
        </w:rPr>
        <w:lastRenderedPageBreak/>
        <w:t>что позволит обеспечить выполнение обязательств каждого участника мероприятий.</w:t>
      </w: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</w:t>
      </w:r>
    </w:p>
    <w:p w:rsidR="00B54804" w:rsidRDefault="00B54804" w:rsidP="00B54804">
      <w:pPr>
        <w:spacing w:after="0"/>
        <w:rPr>
          <w:rFonts w:ascii="Times New Roman" w:hAnsi="Times New Roman"/>
          <w:sz w:val="28"/>
          <w:szCs w:val="24"/>
        </w:rPr>
        <w:sectPr w:rsidR="00B54804">
          <w:pgSz w:w="11906" w:h="16838"/>
          <w:pgMar w:top="1134" w:right="850" w:bottom="1134" w:left="1701" w:header="708" w:footer="708" w:gutter="0"/>
          <w:cols w:space="720"/>
        </w:sectPr>
      </w:pPr>
    </w:p>
    <w:p w:rsidR="00B54804" w:rsidRDefault="00B54804" w:rsidP="00B54804">
      <w:pPr>
        <w:pStyle w:val="a8"/>
        <w:ind w:left="0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1 к Муниципальной программе</w:t>
      </w:r>
      <w:r>
        <w:rPr>
          <w:rFonts w:ascii="Times New Roman" w:hAnsi="Times New Roman"/>
          <w:sz w:val="28"/>
          <w:szCs w:val="24"/>
        </w:rPr>
        <w:tab/>
      </w: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Сведения о целевых показателях эффективности реализации Муниципальной программы</w:t>
      </w:r>
    </w:p>
    <w:tbl>
      <w:tblPr>
        <w:tblW w:w="15797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1"/>
        <w:gridCol w:w="6427"/>
        <w:gridCol w:w="1896"/>
        <w:gridCol w:w="1423"/>
        <w:gridCol w:w="1516"/>
        <w:gridCol w:w="1234"/>
        <w:gridCol w:w="1210"/>
        <w:gridCol w:w="1320"/>
      </w:tblGrid>
      <w:tr w:rsidR="00B54804" w:rsidTr="00B54804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 эффективности Программы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показатели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</w:p>
        </w:tc>
      </w:tr>
      <w:tr w:rsidR="00B54804" w:rsidTr="00B5480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спортивными залами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тыс.кв.метров на 10 тыс. человек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</w:tr>
      <w:tr w:rsidR="00B54804" w:rsidTr="00B5480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плоскостными сооружениями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тыс.кв.метров на 10 тыс. человек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76,5</w:t>
            </w:r>
          </w:p>
        </w:tc>
      </w:tr>
      <w:tr w:rsidR="00B54804" w:rsidTr="00B5480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</w:tr>
      <w:tr w:rsidR="00B54804" w:rsidTr="00B5480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</w:tr>
      <w:tr w:rsidR="00B54804" w:rsidTr="00B5480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B54804" w:rsidTr="00B5480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B54804" w:rsidTr="00B54804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</w:tr>
    </w:tbl>
    <w:p w:rsidR="00B54804" w:rsidRDefault="00B54804" w:rsidP="00B54804">
      <w:pPr>
        <w:pStyle w:val="a8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B54804" w:rsidRDefault="00B54804" w:rsidP="00B54804">
      <w:pPr>
        <w:pStyle w:val="a8"/>
        <w:ind w:left="0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 к Муниципальной программе</w:t>
      </w:r>
      <w:r>
        <w:rPr>
          <w:rFonts w:ascii="Times New Roman" w:hAnsi="Times New Roman"/>
          <w:sz w:val="28"/>
          <w:szCs w:val="24"/>
        </w:rPr>
        <w:tab/>
      </w: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Расходы на реализацию Муниципальной программы</w:t>
      </w: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«Развитие физической культуры и спорта» на 2014-2018 годы.</w:t>
      </w: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счет средств бюджета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8"/>
        <w:gridCol w:w="2317"/>
        <w:gridCol w:w="1195"/>
        <w:gridCol w:w="1319"/>
        <w:gridCol w:w="1195"/>
        <w:gridCol w:w="1195"/>
        <w:gridCol w:w="1195"/>
        <w:gridCol w:w="929"/>
        <w:gridCol w:w="2219"/>
      </w:tblGrid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рублей)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исполнителей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c>
          <w:tcPr>
            <w:tcW w:w="4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Подготовка лыжных трасс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Реконструкция стадиона в пгт Тужа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4. Ремонт КСК д. Греково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администрация Грековского с/п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c>
          <w:tcPr>
            <w:tcW w:w="4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2. Расходы по присвоению спортивных разрядов и квалификационных </w:t>
            </w:r>
            <w:r>
              <w:rPr>
                <w:rFonts w:ascii="Times New Roman" w:hAnsi="Times New Roman"/>
                <w:sz w:val="28"/>
              </w:rPr>
              <w:lastRenderedPageBreak/>
              <w:t>категорий спортивных судей. предусмотренных ч.2 ст. 7.1 ЗКО «О физической культуре и спорту Кировской области»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района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4. Физкультурно-массовые мероприятия среди ветеранов, участие в соревнованиях различного уровня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5. 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Тужинского муниципального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189,7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189,7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c>
          <w:tcPr>
            <w:tcW w:w="4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1. Реклама и организация пропаганды ЗОЖ в </w:t>
            </w:r>
            <w:r>
              <w:rPr>
                <w:rFonts w:ascii="Times New Roman" w:hAnsi="Times New Roman"/>
                <w:sz w:val="28"/>
              </w:rPr>
              <w:lastRenderedPageBreak/>
              <w:t>СМИ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муниципального района 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Изготовление баннера спортивной тематики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c>
          <w:tcPr>
            <w:tcW w:w="4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c>
          <w:tcPr>
            <w:tcW w:w="4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4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Задача 6. Сохранение кадрового потенциала спортивной школы</w:t>
            </w: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Ежемесячные выплаты педагогическим работникам образовательных учреждений, имеющим высшую квалификационную категорию, в размере одной тысячи рублей.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2. Ежемесячные выплаты педагогическим работникам образовательных учреждений (за исключением </w:t>
            </w:r>
            <w:r>
              <w:rPr>
                <w:rFonts w:ascii="Times New Roman" w:hAnsi="Times New Roman"/>
                <w:sz w:val="28"/>
              </w:rPr>
              <w:lastRenderedPageBreak/>
              <w:t>общеобразовательных учреждений) в размере одной тысячи рублей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Программе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189,7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B54804" w:rsidTr="00B5480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67,8,0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65,8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272,1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_______________________ </w:t>
      </w:r>
    </w:p>
    <w:p w:rsidR="00B54804" w:rsidRDefault="00B54804" w:rsidP="00B54804">
      <w:pPr>
        <w:spacing w:after="0"/>
        <w:rPr>
          <w:rFonts w:ascii="Times New Roman" w:hAnsi="Times New Roman"/>
          <w:b/>
          <w:sz w:val="28"/>
          <w:szCs w:val="24"/>
        </w:rPr>
        <w:sectPr w:rsidR="00B54804">
          <w:pgSz w:w="16838" w:h="11906" w:orient="landscape"/>
          <w:pgMar w:top="851" w:right="1134" w:bottom="851" w:left="1418" w:header="709" w:footer="709" w:gutter="0"/>
          <w:cols w:space="720"/>
        </w:sectPr>
      </w:pPr>
    </w:p>
    <w:p w:rsidR="00B54804" w:rsidRDefault="00B54804" w:rsidP="00B54804">
      <w:pPr>
        <w:pStyle w:val="a8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Приложение № 3 к Муниципальной программе</w:t>
      </w: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150"/>
        <w:gridCol w:w="2115"/>
        <w:gridCol w:w="1962"/>
        <w:gridCol w:w="881"/>
        <w:gridCol w:w="771"/>
        <w:gridCol w:w="771"/>
        <w:gridCol w:w="771"/>
        <w:gridCol w:w="771"/>
      </w:tblGrid>
      <w:tr w:rsidR="00B54804" w:rsidTr="00B54804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B54804" w:rsidTr="00B54804">
        <w:trPr>
          <w:cantSplit/>
          <w:trHeight w:val="113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4804" w:rsidRDefault="00B54804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4804" w:rsidRDefault="00B54804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4804" w:rsidRDefault="00B54804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2016 г.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4804" w:rsidRDefault="00B54804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4804" w:rsidRDefault="00B54804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</w:tr>
      <w:tr w:rsidR="00B54804" w:rsidTr="00B54804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физической культуры и спорта» на 2014-2018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35,7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67,8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61,8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</w:tr>
      <w:tr w:rsidR="00B54804" w:rsidTr="00B54804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B54804" w:rsidRDefault="00B54804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B54804" w:rsidTr="00B54804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24,8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B54804" w:rsidTr="00B54804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35,7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39,0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</w:tr>
      <w:tr w:rsidR="00B54804" w:rsidTr="00B54804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04" w:rsidRDefault="00B54804">
            <w:pPr>
              <w:spacing w:after="0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04" w:rsidRDefault="00B54804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4" w:rsidRDefault="00B54804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B54804" w:rsidRDefault="00B54804" w:rsidP="00B54804">
      <w:pPr>
        <w:pStyle w:val="a8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B54804" w:rsidRDefault="00B54804" w:rsidP="001607CD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B54804">
      <w:pgSz w:w="11906" w:h="16838"/>
      <w:pgMar w:top="899" w:right="851" w:bottom="89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E9" w:rsidRDefault="003F6AE9">
      <w:r>
        <w:separator/>
      </w:r>
    </w:p>
  </w:endnote>
  <w:endnote w:type="continuationSeparator" w:id="0">
    <w:p w:rsidR="003F6AE9" w:rsidRDefault="003F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E9" w:rsidRDefault="003F6AE9">
      <w:r>
        <w:separator/>
      </w:r>
    </w:p>
  </w:footnote>
  <w:footnote w:type="continuationSeparator" w:id="0">
    <w:p w:rsidR="003F6AE9" w:rsidRDefault="003F6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7CD"/>
    <w:rsid w:val="001607CD"/>
    <w:rsid w:val="003F6AE9"/>
    <w:rsid w:val="00B54804"/>
    <w:rsid w:val="00B9356C"/>
    <w:rsid w:val="00BB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semiHidden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  <w:style w:type="paragraph" w:styleId="3">
    <w:name w:val="Body Text Indent 3"/>
    <w:basedOn w:val="a"/>
    <w:link w:val="30"/>
    <w:semiHidden/>
    <w:unhideWhenUsed/>
    <w:rsid w:val="00B548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54804"/>
    <w:rPr>
      <w:rFonts w:ascii="Calibri" w:hAnsi="Calibri" w:cs="Calibri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B54804"/>
    <w:rPr>
      <w:rFonts w:cs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4845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32400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2</cp:revision>
  <cp:lastPrinted>2014-10-15T05:27:00Z</cp:lastPrinted>
  <dcterms:created xsi:type="dcterms:W3CDTF">2016-03-09T10:15:00Z</dcterms:created>
  <dcterms:modified xsi:type="dcterms:W3CDTF">2016-03-09T10:15:00Z</dcterms:modified>
</cp:coreProperties>
</file>